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4AC07" w14:textId="77777777" w:rsidR="00826991" w:rsidRDefault="00F154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Proyecto de Acuerdo 004 de 2020</w:t>
      </w:r>
    </w:p>
    <w:p w14:paraId="4098726B" w14:textId="77777777" w:rsidR="00826991" w:rsidRDefault="00F1547E">
      <w:pPr>
        <w:ind w:left="556" w:right="11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POR EL CUAL SE ADOPTA EL PLAN DE DESARROLLO ECONÓMICO, SOCIAL, AMBIENTAL Y DE OBRAS PÚBLICAS PARA LA LOCALIDAD DE CHAPINERO 2021-2024.</w:t>
      </w:r>
    </w:p>
    <w:p w14:paraId="336A3FAC" w14:textId="77777777" w:rsidR="00826991" w:rsidRDefault="00F1547E">
      <w:pPr>
        <w:ind w:left="441" w:right="1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“UN NUEVO CONTRATO SOCIAL Y AMBIENTAL PARA CHAPINERO”</w:t>
      </w:r>
    </w:p>
    <w:p w14:paraId="0E198A4C" w14:textId="77777777" w:rsidR="00826991" w:rsidRDefault="00826991">
      <w:pPr>
        <w:jc w:val="both"/>
        <w:rPr>
          <w:rFonts w:ascii="Arial Narrow" w:eastAsia="Arial Narrow" w:hAnsi="Arial Narrow" w:cs="Arial Narrow"/>
        </w:rPr>
      </w:pPr>
    </w:p>
    <w:p w14:paraId="04DB2CCD" w14:textId="1C7770A8" w:rsidR="00826991" w:rsidRDefault="00F1547E">
      <w:pPr>
        <w:jc w:val="both"/>
      </w:pPr>
      <w:r>
        <w:rPr>
          <w:b/>
        </w:rPr>
        <w:t>COMISIÓN:</w:t>
      </w:r>
      <w:r>
        <w:rPr>
          <w:b/>
        </w:rPr>
        <w:tab/>
        <w:t xml:space="preserve"> </w:t>
      </w:r>
      <w:r w:rsidR="00275238">
        <w:rPr>
          <w:b/>
        </w:rPr>
        <w:t>Plenaria</w:t>
      </w:r>
    </w:p>
    <w:p w14:paraId="675267DF" w14:textId="55E8EA70" w:rsidR="00826991" w:rsidRDefault="00F1547E">
      <w:pPr>
        <w:jc w:val="both"/>
      </w:pPr>
      <w:r>
        <w:rPr>
          <w:b/>
        </w:rPr>
        <w:t>FECHA:</w:t>
      </w:r>
      <w:r>
        <w:rPr>
          <w:b/>
        </w:rPr>
        <w:tab/>
      </w:r>
      <w:r>
        <w:rPr>
          <w:b/>
        </w:rPr>
        <w:tab/>
      </w:r>
      <w:r w:rsidR="00275238">
        <w:rPr>
          <w:b/>
        </w:rPr>
        <w:t>08 de octubre del 2020</w:t>
      </w:r>
    </w:p>
    <w:p w14:paraId="5F67C714" w14:textId="77777777" w:rsidR="00826991" w:rsidRDefault="00826991">
      <w:pPr>
        <w:jc w:val="both"/>
      </w:pPr>
    </w:p>
    <w:p w14:paraId="2B4D27C7" w14:textId="77777777" w:rsidR="00826991" w:rsidRDefault="00F1547E">
      <w:pPr>
        <w:jc w:val="both"/>
      </w:pPr>
      <w:r>
        <w:rPr>
          <w:b/>
        </w:rPr>
        <w:t>RADICADO:  _________________________     Aprobada _______</w:t>
      </w:r>
      <w:proofErr w:type="gramStart"/>
      <w:r>
        <w:rPr>
          <w:b/>
        </w:rPr>
        <w:t>_  NO</w:t>
      </w:r>
      <w:proofErr w:type="gramEnd"/>
      <w:r>
        <w:rPr>
          <w:b/>
        </w:rPr>
        <w:t xml:space="preserve"> aprobada ________</w:t>
      </w:r>
    </w:p>
    <w:p w14:paraId="49FBCB25" w14:textId="26C0AB74" w:rsidR="00826991" w:rsidRDefault="00F1547E">
      <w:pPr>
        <w:jc w:val="both"/>
      </w:pPr>
      <w:proofErr w:type="gramStart"/>
      <w:r>
        <w:rPr>
          <w:b/>
        </w:rPr>
        <w:t xml:space="preserve">EDIL  </w:t>
      </w:r>
      <w:r w:rsidR="00275238">
        <w:rPr>
          <w:b/>
        </w:rPr>
        <w:t>Jose</w:t>
      </w:r>
      <w:proofErr w:type="gramEnd"/>
      <w:r w:rsidR="00275238">
        <w:rPr>
          <w:b/>
        </w:rPr>
        <w:t xml:space="preserve"> Miguel Santamaría</w:t>
      </w:r>
    </w:p>
    <w:p w14:paraId="5BAD19B7" w14:textId="77777777" w:rsidR="00826991" w:rsidRDefault="00F1547E">
      <w:pPr>
        <w:jc w:val="both"/>
      </w:pPr>
      <w:r>
        <w:rPr>
          <w:b/>
        </w:rPr>
        <w:t xml:space="preserve">Presenta la </w:t>
      </w:r>
      <w:proofErr w:type="spellStart"/>
      <w:r>
        <w:rPr>
          <w:b/>
        </w:rPr>
        <w:t>Proposicion</w:t>
      </w:r>
      <w:proofErr w:type="spellEnd"/>
      <w:r>
        <w:rPr>
          <w:b/>
        </w:rPr>
        <w:t>:</w:t>
      </w:r>
      <w:r>
        <w:rPr>
          <w:b/>
        </w:rPr>
        <w:tab/>
        <w:t xml:space="preserve">A) </w:t>
      </w:r>
      <w:proofErr w:type="spellStart"/>
      <w:r>
        <w:rPr>
          <w:b/>
        </w:rPr>
        <w:t>Supresiva</w:t>
      </w:r>
      <w:proofErr w:type="spellEnd"/>
      <w:r>
        <w:rPr>
          <w:b/>
        </w:rPr>
        <w:tab/>
        <w:t xml:space="preserve">   B) Aditiva</w:t>
      </w:r>
      <w:r>
        <w:rPr>
          <w:b/>
        </w:rPr>
        <w:tab/>
        <w:t xml:space="preserve">   C) Substitutiva</w:t>
      </w:r>
    </w:p>
    <w:p w14:paraId="1AC06211" w14:textId="77777777" w:rsidR="00826991" w:rsidRDefault="00F1547E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D) Divisiva</w:t>
      </w:r>
      <w:r>
        <w:rPr>
          <w:b/>
        </w:rPr>
        <w:tab/>
        <w:t xml:space="preserve">   E) </w:t>
      </w:r>
      <w:proofErr w:type="spellStart"/>
      <w:r>
        <w:rPr>
          <w:b/>
        </w:rPr>
        <w:t>Reunitiva</w:t>
      </w:r>
      <w:proofErr w:type="spellEnd"/>
      <w:r>
        <w:rPr>
          <w:b/>
        </w:rPr>
        <w:tab/>
        <w:t xml:space="preserve">   F) Transpositiva</w:t>
      </w:r>
    </w:p>
    <w:p w14:paraId="617EDED2" w14:textId="77777777" w:rsidR="00826991" w:rsidRDefault="00F1547E">
      <w:pPr>
        <w:pBdr>
          <w:bottom w:val="single" w:sz="12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8838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G) Suspensiva</w:t>
      </w:r>
      <w:r>
        <w:rPr>
          <w:b/>
        </w:rPr>
        <w:tab/>
        <w:t xml:space="preserve">   </w:t>
      </w:r>
      <w:r w:rsidRPr="00275238">
        <w:rPr>
          <w:b/>
          <w:strike/>
        </w:rPr>
        <w:t>H) Enmienda</w:t>
      </w:r>
      <w:r w:rsidRPr="00275238">
        <w:rPr>
          <w:strike/>
        </w:rPr>
        <w:t xml:space="preserve">    </w:t>
      </w:r>
    </w:p>
    <w:p w14:paraId="5B37046A" w14:textId="77777777" w:rsidR="00826991" w:rsidRDefault="00826991">
      <w:pPr>
        <w:pBdr>
          <w:bottom w:val="single" w:sz="12" w:space="1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8838"/>
        </w:tabs>
        <w:jc w:val="both"/>
      </w:pPr>
    </w:p>
    <w:p w14:paraId="68B14673" w14:textId="54850487" w:rsidR="00826991" w:rsidRDefault="00275238">
      <w:pPr>
        <w:spacing w:line="360" w:lineRule="auto"/>
      </w:pPr>
      <w:r>
        <w:t>Modificar artículo 66:</w:t>
      </w:r>
    </w:p>
    <w:p w14:paraId="1A68A81D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238">
        <w:rPr>
          <w:rFonts w:ascii="Times New Roman" w:hAnsi="Times New Roman" w:cs="Times New Roman"/>
          <w:b/>
          <w:bCs/>
          <w:sz w:val="24"/>
          <w:szCs w:val="24"/>
        </w:rPr>
        <w:t>Artículo 66. Programa Gestión pública local.</w:t>
      </w:r>
    </w:p>
    <w:p w14:paraId="24913329" w14:textId="77777777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En el marco del Programa de Gestión Pública Local, la Alcaldía Chapinero ejecutará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acciones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recuperar y consolidar la confianza de la ciudadanía de la localidad, esto con miras a satisfacer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necesidades y solucionar los problemas de sus grupos de valor. Estas acciones se realizarán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reconociendo que, en torno a la satisfacción de las necesidades ciudadanas, las entidades (y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Alcaldía Local de Chapinero como dependencia de la Secretaría Distrital de Gobierno) focalizan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sus procesos y el uso de sus recursos.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00126" w14:textId="77777777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EEA36" w14:textId="6508DC0E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En este programa se materializan las capacidades con las que cuenta la Alcaldía Local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Chapinero en términos de recursos, talento humano, procesos, y en general, todas las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275238">
        <w:rPr>
          <w:rFonts w:ascii="Times New Roman" w:hAnsi="Times New Roman" w:cs="Times New Roman"/>
          <w:sz w:val="24"/>
          <w:szCs w:val="24"/>
        </w:rPr>
        <w:t>ondiciones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 xml:space="preserve">internas y externas que la caracterizan, para desarrollar su gestión y lograr un </w:t>
      </w:r>
      <w:r w:rsidRPr="00275238">
        <w:rPr>
          <w:rFonts w:ascii="Times New Roman" w:hAnsi="Times New Roman" w:cs="Times New Roman"/>
          <w:sz w:val="24"/>
          <w:szCs w:val="24"/>
        </w:rPr>
        <w:lastRenderedPageBreak/>
        <w:t>desempeño acorde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con los resultados que se propuso conseguir en este Plan de Desarrollo Local.</w:t>
      </w:r>
    </w:p>
    <w:p w14:paraId="1FEEE958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B9B2B" w14:textId="4A71DC6A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Gobernar con la ciudadanía, bajo una estrategia de gestión pública que promueve prácticas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transparencia en el gobierno, canales de participación ciudadana para el diseño e implementación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de planes, programas y proyectos en concordancia con las normas y políticas públicas Distritales,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promoviendo mecanismos que estimulen el aprovechamiento de las capacidades, de la experiencia,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del conocimiento y entusiasmo de la ciudadanía para generar soluciones a todo tipo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problemáticas comunes.</w:t>
      </w:r>
    </w:p>
    <w:p w14:paraId="45C4788D" w14:textId="0D21BC5B" w:rsidR="00275238" w:rsidRDefault="00275238">
      <w:pPr>
        <w:spacing w:line="360" w:lineRule="auto"/>
      </w:pPr>
    </w:p>
    <w:p w14:paraId="0F827FCF" w14:textId="778FA9C8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La ejecución de este programa permitirá a la Alcaldía Local de Chapinero mantener una constante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y fluida interacción con la ciudadanía de manera transparente y participativa, prestando un servicio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de excelencia y facilitando la garantía del ejercicio de los derechos ciudadanos, a través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entrega efectiva de productos, servicios e información.</w:t>
      </w:r>
    </w:p>
    <w:p w14:paraId="5D71687F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2A7B3" w14:textId="6C59F356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El programa incluye las acciones que cobijan los cuatro escenarios en los cuales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ciudadanía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grupo de valor interactúa con la Alcaldía Local:</w:t>
      </w:r>
    </w:p>
    <w:p w14:paraId="51D92C64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85DC9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NewRomanPSMT" w:eastAsia="TimesNewRomanPSMT" w:hAnsi="Times New Roman" w:cs="TimesNewRomanPSMT" w:hint="eastAsia"/>
          <w:sz w:val="24"/>
          <w:szCs w:val="24"/>
        </w:rPr>
        <w:t>●</w:t>
      </w:r>
      <w:r w:rsidRPr="00275238"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Ciudadanía que consulta información pública de su localidad.</w:t>
      </w:r>
    </w:p>
    <w:p w14:paraId="77F2C71A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NewRomanPSMT" w:eastAsia="TimesNewRomanPSMT" w:hAnsi="Times New Roman" w:cs="TimesNewRomanPSMT" w:hint="eastAsia"/>
          <w:sz w:val="24"/>
          <w:szCs w:val="24"/>
        </w:rPr>
        <w:t>●</w:t>
      </w:r>
      <w:r w:rsidRPr="00275238"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Ciudadanía que hace trámites o accede a servicios de la Alcaldía Local.</w:t>
      </w:r>
    </w:p>
    <w:p w14:paraId="37CD1D9E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NewRomanPSMT" w:eastAsia="TimesNewRomanPSMT" w:hAnsi="Times New Roman" w:cs="TimesNewRomanPSMT" w:hint="eastAsia"/>
          <w:sz w:val="24"/>
          <w:szCs w:val="24"/>
        </w:rPr>
        <w:t>●</w:t>
      </w:r>
      <w:r w:rsidRPr="00275238"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Ciudadanía que hace denuncias, interpone quejas o exige cuentas a la Alcaldía Local.</w:t>
      </w:r>
    </w:p>
    <w:p w14:paraId="42DA1CDA" w14:textId="645846F3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NewRomanPSMT" w:eastAsia="TimesNewRomanPSMT" w:hAnsi="Times New Roman" w:cs="TimesNewRomanPSMT" w:hint="eastAsia"/>
          <w:sz w:val="24"/>
          <w:szCs w:val="24"/>
        </w:rPr>
        <w:t>●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Ciudadanía que participa haciendo propuestas a las iniciativas, políticas o programas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liderados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la Alcaldía, o que desea colaborar en la solución de problemas de lo público.</w:t>
      </w:r>
    </w:p>
    <w:p w14:paraId="4B139B7B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270B3" w14:textId="4A40944D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En esta perspectiva, mediante condiciones de gobernanza y gobernabilidad local, se realizarán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procesos de territorialización de la gestión y la inversión distrital en la localidad.</w:t>
      </w:r>
    </w:p>
    <w:p w14:paraId="2A8626EA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A5BD2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La Alcaldía Local de Chapinero tendrá como propósito garantizar un adecuado flujo de</w:t>
      </w:r>
    </w:p>
    <w:p w14:paraId="6243AD79" w14:textId="29A6D795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información interna, es decir aquella que permite la operación interna de la Alcaldía, así como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la información externa, esto es, aquella que le permite una interacción con la ciudadanía; para tales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fines se requiere contar con canales de comunicación acordes con las capacidades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organizacionales.</w:t>
      </w:r>
    </w:p>
    <w:p w14:paraId="00A939E9" w14:textId="771F5DC2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CCB93" w14:textId="44432983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Quedaría así.</w:t>
      </w:r>
    </w:p>
    <w:p w14:paraId="5F9C600D" w14:textId="0D1DCE48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D7CBB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238">
        <w:rPr>
          <w:rFonts w:ascii="Times New Roman" w:hAnsi="Times New Roman" w:cs="Times New Roman"/>
          <w:b/>
          <w:bCs/>
          <w:sz w:val="24"/>
          <w:szCs w:val="24"/>
        </w:rPr>
        <w:t>Artículo 66. Programa Gestión pública local.</w:t>
      </w:r>
    </w:p>
    <w:p w14:paraId="0D6715A9" w14:textId="0E962C75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En el marco del Programa de Gestión Pública Local, la Alcaldía Chapinero ejecutará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acciones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recuperar y consolidar la confianza de la ciudadanía de la localidad, esto con miras a satisfacer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 xml:space="preserve">necesidades y solucionar los problemas </w:t>
      </w:r>
      <w:r w:rsidRPr="00DF77FF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r w:rsidR="00DF77FF" w:rsidRPr="00DF77FF">
        <w:rPr>
          <w:rFonts w:ascii="Times New Roman" w:hAnsi="Times New Roman" w:cs="Times New Roman"/>
          <w:sz w:val="24"/>
          <w:szCs w:val="24"/>
          <w:highlight w:val="yellow"/>
        </w:rPr>
        <w:t>los</w:t>
      </w:r>
      <w:r w:rsidRPr="00DF77FF">
        <w:rPr>
          <w:rFonts w:ascii="Times New Roman" w:hAnsi="Times New Roman" w:cs="Times New Roman"/>
          <w:sz w:val="24"/>
          <w:szCs w:val="24"/>
          <w:highlight w:val="yellow"/>
        </w:rPr>
        <w:t xml:space="preserve"> grupos </w:t>
      </w:r>
      <w:r w:rsidR="00DF77FF" w:rsidRPr="00DF77FF">
        <w:rPr>
          <w:rFonts w:ascii="Times New Roman" w:hAnsi="Times New Roman" w:cs="Times New Roman"/>
          <w:sz w:val="24"/>
          <w:szCs w:val="24"/>
          <w:highlight w:val="yellow"/>
        </w:rPr>
        <w:t>presentes en la localidad</w:t>
      </w:r>
      <w:r w:rsidRPr="00DF77F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75238"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lastRenderedPageBreak/>
        <w:t>Estas acciones se realizarán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reconociendo que, en torno a la satisfacción de las necesidades ciudadanas, las entidades (y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Alcaldía Local de Chapinero como dependencia de la Secretaría Distrital de Gobierno) focalizan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sus procesos y el uso de sus recursos.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6B475" w14:textId="77777777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5D1F4" w14:textId="77777777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En este programa se materializan las capacidades con las que cuenta la Alcaldía Local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Chapinero en términos de recursos, talento humano, procesos, y en general, todas las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275238">
        <w:rPr>
          <w:rFonts w:ascii="Times New Roman" w:hAnsi="Times New Roman" w:cs="Times New Roman"/>
          <w:sz w:val="24"/>
          <w:szCs w:val="24"/>
        </w:rPr>
        <w:t>ondiciones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internas y externas que la caracterizan, para desarrollar su gestión y lograr un desempeño acorde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con los resultados que se propuso conseguir en este Plan de Desarrollo Local.</w:t>
      </w:r>
    </w:p>
    <w:p w14:paraId="2DC47B99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65D05" w14:textId="4AC6A16D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Gobernar con la ciudadanía, bajo una estrategia de gestión pública que promueve prácticas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  <w:highlight w:val="yellow"/>
        </w:rPr>
        <w:t xml:space="preserve">transparencia, gobierno abierto, acceso a la información y canales de participación y colaboración </w:t>
      </w:r>
      <w:r>
        <w:rPr>
          <w:rFonts w:ascii="Times New Roman" w:hAnsi="Times New Roman" w:cs="Times New Roman"/>
          <w:sz w:val="24"/>
          <w:szCs w:val="24"/>
          <w:highlight w:val="yellow"/>
        </w:rPr>
        <w:t>entre</w:t>
      </w:r>
      <w:r w:rsidRPr="00275238">
        <w:rPr>
          <w:rFonts w:ascii="Times New Roman" w:hAnsi="Times New Roman" w:cs="Times New Roman"/>
          <w:sz w:val="24"/>
          <w:szCs w:val="24"/>
          <w:highlight w:val="yellow"/>
        </w:rPr>
        <w:t xml:space="preserve"> la ciudadanía y la administración,</w:t>
      </w:r>
      <w:r w:rsidRPr="00275238">
        <w:rPr>
          <w:rFonts w:ascii="Times New Roman" w:hAnsi="Times New Roman" w:cs="Times New Roman"/>
          <w:sz w:val="24"/>
          <w:szCs w:val="24"/>
        </w:rPr>
        <w:t xml:space="preserve"> para el diseño e implementación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de planes, programas y proyectos en concordancia con las normas y políticas públicas Distritales,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promoviendo mecanismos que estimulen el aprovechamiento de las capacidades, de la experiencia,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del conocimiento y entusiasmo de la ciudadanía para generar soluciones a todo tipo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problemáticas comunes.</w:t>
      </w:r>
    </w:p>
    <w:p w14:paraId="05EB6AC0" w14:textId="77777777" w:rsidR="00275238" w:rsidRDefault="00275238" w:rsidP="00275238">
      <w:pPr>
        <w:spacing w:line="360" w:lineRule="auto"/>
      </w:pPr>
    </w:p>
    <w:p w14:paraId="336B0ABD" w14:textId="3198AAC7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La ejecución de este programa permitirá a la Alcaldía Local de Chapinero mantener una constante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 xml:space="preserve">y fluida interacción con la ciudadanía de manera </w:t>
      </w:r>
      <w:r w:rsidRPr="00275238">
        <w:rPr>
          <w:rFonts w:ascii="Times New Roman" w:hAnsi="Times New Roman" w:cs="Times New Roman"/>
          <w:sz w:val="24"/>
          <w:szCs w:val="24"/>
          <w:highlight w:val="yellow"/>
        </w:rPr>
        <w:t>transparente, accesible participativa y colaborativa,</w:t>
      </w:r>
      <w:r w:rsidRPr="00275238">
        <w:rPr>
          <w:rFonts w:ascii="Times New Roman" w:hAnsi="Times New Roman" w:cs="Times New Roman"/>
          <w:sz w:val="24"/>
          <w:szCs w:val="24"/>
        </w:rPr>
        <w:t xml:space="preserve"> prestando un servicio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de excelencia y facilitando la garantía del ejercicio de los derechos ciudadanos</w:t>
      </w:r>
      <w:r w:rsidRPr="00DF77FF">
        <w:rPr>
          <w:rFonts w:ascii="Times New Roman" w:hAnsi="Times New Roman" w:cs="Times New Roman"/>
          <w:sz w:val="24"/>
          <w:szCs w:val="24"/>
          <w:highlight w:val="yellow"/>
        </w:rPr>
        <w:t>, a través de</w:t>
      </w:r>
      <w:r w:rsidR="00DF77FF" w:rsidRPr="00DF77FF">
        <w:rPr>
          <w:rFonts w:ascii="Times New Roman" w:hAnsi="Times New Roman" w:cs="Times New Roman"/>
          <w:sz w:val="24"/>
          <w:szCs w:val="24"/>
          <w:highlight w:val="yellow"/>
        </w:rPr>
        <w:t>l acceso</w:t>
      </w:r>
      <w:r w:rsidRPr="00DF77FF">
        <w:rPr>
          <w:rFonts w:ascii="Times New Roman" w:hAnsi="Times New Roman" w:cs="Times New Roman"/>
          <w:sz w:val="24"/>
          <w:szCs w:val="24"/>
          <w:highlight w:val="yellow"/>
        </w:rPr>
        <w:t xml:space="preserve"> efectiv</w:t>
      </w:r>
      <w:r w:rsidR="00DF77FF" w:rsidRPr="00DF77FF">
        <w:rPr>
          <w:rFonts w:ascii="Times New Roman" w:hAnsi="Times New Roman" w:cs="Times New Roman"/>
          <w:sz w:val="24"/>
          <w:szCs w:val="24"/>
          <w:highlight w:val="yellow"/>
        </w:rPr>
        <w:t>o a los</w:t>
      </w:r>
      <w:r w:rsidRPr="00DF77FF">
        <w:rPr>
          <w:rFonts w:ascii="Times New Roman" w:hAnsi="Times New Roman" w:cs="Times New Roman"/>
          <w:sz w:val="24"/>
          <w:szCs w:val="24"/>
          <w:highlight w:val="yellow"/>
        </w:rPr>
        <w:t xml:space="preserve"> productos, servicios e información</w:t>
      </w:r>
      <w:r w:rsidR="00DF77FF" w:rsidRPr="00DF77FF">
        <w:rPr>
          <w:rFonts w:ascii="Times New Roman" w:hAnsi="Times New Roman" w:cs="Times New Roman"/>
          <w:sz w:val="24"/>
          <w:szCs w:val="24"/>
          <w:highlight w:val="yellow"/>
        </w:rPr>
        <w:t xml:space="preserve">, mediante canales virtuales y </w:t>
      </w:r>
      <w:r w:rsidR="00DF77FF" w:rsidRPr="000F3A27">
        <w:rPr>
          <w:rFonts w:ascii="Times New Roman" w:hAnsi="Times New Roman" w:cs="Times New Roman"/>
          <w:sz w:val="24"/>
          <w:szCs w:val="24"/>
          <w:highlight w:val="yellow"/>
        </w:rPr>
        <w:t>presenciales</w:t>
      </w:r>
      <w:r w:rsidR="000F3A27" w:rsidRPr="000F3A27">
        <w:rPr>
          <w:rFonts w:ascii="Times New Roman" w:hAnsi="Times New Roman" w:cs="Times New Roman"/>
          <w:sz w:val="24"/>
          <w:szCs w:val="24"/>
          <w:highlight w:val="yellow"/>
        </w:rPr>
        <w:t xml:space="preserve"> 24 horas.</w:t>
      </w:r>
    </w:p>
    <w:p w14:paraId="2C87B6F9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33EC7" w14:textId="77777777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El programa incluye las acciones que cobijan los cuatro escenarios en los cuales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ciudadanía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grupo de valor interactúa con la Alcaldía Local:</w:t>
      </w:r>
    </w:p>
    <w:p w14:paraId="5F0C4DB4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E481" w14:textId="3F590F59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NewRomanPSMT" w:eastAsia="TimesNewRomanPSMT" w:hAnsi="Times New Roman" w:cs="TimesNewRomanPSMT" w:hint="eastAsia"/>
          <w:sz w:val="24"/>
          <w:szCs w:val="24"/>
        </w:rPr>
        <w:t>●</w:t>
      </w:r>
      <w:r w:rsidRPr="00275238"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Ciudadanía que consulta</w:t>
      </w:r>
      <w:r w:rsidR="00DF77FF">
        <w:rPr>
          <w:rFonts w:ascii="Times New Roman" w:hAnsi="Times New Roman" w:cs="Times New Roman"/>
          <w:sz w:val="24"/>
          <w:szCs w:val="24"/>
        </w:rPr>
        <w:t xml:space="preserve"> </w:t>
      </w:r>
      <w:r w:rsidR="00DF77FF" w:rsidRPr="00DF77FF">
        <w:rPr>
          <w:rFonts w:ascii="Times New Roman" w:hAnsi="Times New Roman" w:cs="Times New Roman"/>
          <w:sz w:val="24"/>
          <w:szCs w:val="24"/>
          <w:highlight w:val="yellow"/>
        </w:rPr>
        <w:t>y accede a la</w:t>
      </w:r>
      <w:r w:rsidRPr="00275238">
        <w:rPr>
          <w:rFonts w:ascii="Times New Roman" w:hAnsi="Times New Roman" w:cs="Times New Roman"/>
          <w:sz w:val="24"/>
          <w:szCs w:val="24"/>
        </w:rPr>
        <w:t xml:space="preserve"> información pública de su localidad.</w:t>
      </w:r>
    </w:p>
    <w:p w14:paraId="0E041B35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NewRomanPSMT" w:eastAsia="TimesNewRomanPSMT" w:hAnsi="Times New Roman" w:cs="TimesNewRomanPSMT" w:hint="eastAsia"/>
          <w:sz w:val="24"/>
          <w:szCs w:val="24"/>
        </w:rPr>
        <w:t>●</w:t>
      </w:r>
      <w:r w:rsidRPr="00275238"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Ciudadanía que hace trámites o accede a servicios de la Alcaldía Local.</w:t>
      </w:r>
    </w:p>
    <w:p w14:paraId="4E947AEC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NewRomanPSMT" w:eastAsia="TimesNewRomanPSMT" w:hAnsi="Times New Roman" w:cs="TimesNewRomanPSMT" w:hint="eastAsia"/>
          <w:sz w:val="24"/>
          <w:szCs w:val="24"/>
        </w:rPr>
        <w:t>●</w:t>
      </w:r>
      <w:r w:rsidRPr="00275238"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Ciudadanía que hace denuncias, interpone quejas o exige cuentas a la Alcaldía Local.</w:t>
      </w:r>
    </w:p>
    <w:p w14:paraId="313C9231" w14:textId="1ED7EAD2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NewRomanPSMT" w:eastAsia="TimesNewRomanPSMT" w:hAnsi="Times New Roman" w:cs="TimesNewRomanPSMT" w:hint="eastAsia"/>
          <w:sz w:val="24"/>
          <w:szCs w:val="24"/>
        </w:rPr>
        <w:t>●</w:t>
      </w:r>
      <w:r>
        <w:rPr>
          <w:rFonts w:ascii="TimesNewRomanPSMT" w:eastAsia="TimesNewRomanPSMT" w:hAnsi="Times New Roman" w:cs="TimesNewRomanPSMT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Ciudadanía que participa haciendo propuestas a las iniciativas, políticas o programas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liderados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 xml:space="preserve">la Alcaldía, o que desea colaborar en la solución de problemas </w:t>
      </w:r>
      <w:r w:rsidRPr="00DF77FF">
        <w:rPr>
          <w:rFonts w:ascii="Times New Roman" w:hAnsi="Times New Roman" w:cs="Times New Roman"/>
          <w:sz w:val="24"/>
          <w:szCs w:val="24"/>
          <w:highlight w:val="yellow"/>
        </w:rPr>
        <w:t>de</w:t>
      </w:r>
      <w:r w:rsidR="00DF77FF" w:rsidRPr="00DF77FF">
        <w:rPr>
          <w:rFonts w:ascii="Times New Roman" w:hAnsi="Times New Roman" w:cs="Times New Roman"/>
          <w:sz w:val="24"/>
          <w:szCs w:val="24"/>
          <w:highlight w:val="yellow"/>
        </w:rPr>
        <w:t xml:space="preserve"> la localidad</w:t>
      </w:r>
      <w:r w:rsidR="00DF77FF">
        <w:rPr>
          <w:rFonts w:ascii="Times New Roman" w:hAnsi="Times New Roman" w:cs="Times New Roman"/>
          <w:sz w:val="24"/>
          <w:szCs w:val="24"/>
        </w:rPr>
        <w:t>.</w:t>
      </w:r>
    </w:p>
    <w:p w14:paraId="7BC12F33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CA9B8" w14:textId="77777777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En esta perspectiva, mediante condiciones de gobernanza y gobernabilidad local, se realizarán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procesos de territorialización de la gestión y la inversión distrital en la localidad.</w:t>
      </w:r>
    </w:p>
    <w:p w14:paraId="5B47CACA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95456" w14:textId="5E22A043" w:rsid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238">
        <w:rPr>
          <w:rFonts w:ascii="Times New Roman" w:hAnsi="Times New Roman" w:cs="Times New Roman"/>
          <w:sz w:val="24"/>
          <w:szCs w:val="24"/>
        </w:rPr>
        <w:t>La Alcaldía Local de Chapinero tendrá como propósito garantizar un adecuado flujo de</w:t>
      </w:r>
      <w:r w:rsidR="00DF77FF"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información interna, es decir aquella que permite la operación interna de la Alcaldía, así como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 xml:space="preserve">la información externa, esto es, aquella que le permite una interacción con la </w:t>
      </w:r>
      <w:r w:rsidRPr="00275238">
        <w:rPr>
          <w:rFonts w:ascii="Times New Roman" w:hAnsi="Times New Roman" w:cs="Times New Roman"/>
          <w:sz w:val="24"/>
          <w:szCs w:val="24"/>
        </w:rPr>
        <w:lastRenderedPageBreak/>
        <w:t>ciudadanía; para tales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 xml:space="preserve">fines se requiere contar con canales de </w:t>
      </w:r>
      <w:r w:rsidRPr="00DF77FF">
        <w:rPr>
          <w:rFonts w:ascii="Times New Roman" w:hAnsi="Times New Roman" w:cs="Times New Roman"/>
          <w:sz w:val="24"/>
          <w:szCs w:val="24"/>
          <w:highlight w:val="yellow"/>
        </w:rPr>
        <w:t>comunicación</w:t>
      </w:r>
      <w:r w:rsidR="00DF77FF" w:rsidRPr="00DF77FF">
        <w:rPr>
          <w:rFonts w:ascii="Times New Roman" w:hAnsi="Times New Roman" w:cs="Times New Roman"/>
          <w:sz w:val="24"/>
          <w:szCs w:val="24"/>
          <w:highlight w:val="yellow"/>
        </w:rPr>
        <w:t xml:space="preserve"> abiertos, agiles</w:t>
      </w:r>
      <w:r w:rsidR="00C9426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DF77FF" w:rsidRPr="00DF77F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F77FF" w:rsidRPr="00C9426E">
        <w:rPr>
          <w:rFonts w:ascii="Times New Roman" w:hAnsi="Times New Roman" w:cs="Times New Roman"/>
          <w:sz w:val="24"/>
          <w:szCs w:val="24"/>
          <w:highlight w:val="yellow"/>
        </w:rPr>
        <w:t>eficientes</w:t>
      </w:r>
      <w:r w:rsidR="00C9426E" w:rsidRPr="00C9426E">
        <w:rPr>
          <w:rFonts w:ascii="Times New Roman" w:hAnsi="Times New Roman" w:cs="Times New Roman"/>
          <w:sz w:val="24"/>
          <w:szCs w:val="24"/>
          <w:highlight w:val="yellow"/>
        </w:rPr>
        <w:t xml:space="preserve"> y 24 horas</w:t>
      </w:r>
      <w:r w:rsidR="00DF77FF">
        <w:rPr>
          <w:rFonts w:ascii="Times New Roman" w:hAnsi="Times New Roman" w:cs="Times New Roman"/>
          <w:sz w:val="24"/>
          <w:szCs w:val="24"/>
        </w:rPr>
        <w:t>,</w:t>
      </w:r>
      <w:r w:rsidRPr="00275238">
        <w:rPr>
          <w:rFonts w:ascii="Times New Roman" w:hAnsi="Times New Roman" w:cs="Times New Roman"/>
          <w:sz w:val="24"/>
          <w:szCs w:val="24"/>
        </w:rPr>
        <w:t xml:space="preserve"> acordes con las capacidades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5238">
        <w:rPr>
          <w:rFonts w:ascii="Times New Roman" w:hAnsi="Times New Roman" w:cs="Times New Roman"/>
          <w:sz w:val="24"/>
          <w:szCs w:val="24"/>
        </w:rPr>
        <w:t>organizacionales.</w:t>
      </w:r>
    </w:p>
    <w:p w14:paraId="4B7F67CA" w14:textId="77777777" w:rsidR="00275238" w:rsidRPr="00275238" w:rsidRDefault="00275238" w:rsidP="0027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75238" w:rsidRPr="00275238">
      <w:headerReference w:type="default" r:id="rId6"/>
      <w:footerReference w:type="default" r:id="rId7"/>
      <w:pgSz w:w="12240" w:h="15840"/>
      <w:pgMar w:top="2268" w:right="1701" w:bottom="1701" w:left="1701" w:header="709" w:footer="11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89BD9" w14:textId="77777777" w:rsidR="00345E04" w:rsidRDefault="00345E04">
      <w:pPr>
        <w:spacing w:after="0" w:line="240" w:lineRule="auto"/>
      </w:pPr>
      <w:r>
        <w:separator/>
      </w:r>
    </w:p>
  </w:endnote>
  <w:endnote w:type="continuationSeparator" w:id="0">
    <w:p w14:paraId="073ECA4E" w14:textId="77777777" w:rsidR="00345E04" w:rsidRDefault="0034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7D74E" w14:textId="77777777" w:rsidR="00826991" w:rsidRDefault="00F154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 xml:space="preserve">    Carrera 13 </w:t>
    </w:r>
    <w:proofErr w:type="spellStart"/>
    <w:r>
      <w:rPr>
        <w:color w:val="000000"/>
        <w:sz w:val="20"/>
        <w:szCs w:val="20"/>
      </w:rPr>
      <w:t>Nº</w:t>
    </w:r>
    <w:proofErr w:type="spellEnd"/>
    <w:r>
      <w:rPr>
        <w:color w:val="000000"/>
        <w:sz w:val="20"/>
        <w:szCs w:val="20"/>
      </w:rPr>
      <w:t xml:space="preserve"> 54-74 PISO 4 Torre B</w:t>
    </w:r>
  </w:p>
  <w:p w14:paraId="154B9D29" w14:textId="77777777" w:rsidR="00826991" w:rsidRDefault="00F154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PBX 3486200 Ext. 260 </w:t>
    </w:r>
    <w:proofErr w:type="spellStart"/>
    <w:r>
      <w:rPr>
        <w:color w:val="000000"/>
        <w:sz w:val="20"/>
        <w:szCs w:val="20"/>
      </w:rPr>
      <w:t>ó</w:t>
    </w:r>
    <w:proofErr w:type="spellEnd"/>
    <w:r>
      <w:rPr>
        <w:color w:val="000000"/>
        <w:sz w:val="20"/>
        <w:szCs w:val="20"/>
      </w:rPr>
      <w:t xml:space="preserve"> 268</w:t>
    </w:r>
  </w:p>
  <w:p w14:paraId="10D8EEDC" w14:textId="77777777" w:rsidR="00826991" w:rsidRDefault="008269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C6414" w14:textId="77777777" w:rsidR="00345E04" w:rsidRDefault="00345E04">
      <w:pPr>
        <w:spacing w:after="0" w:line="240" w:lineRule="auto"/>
      </w:pPr>
      <w:r>
        <w:separator/>
      </w:r>
    </w:p>
  </w:footnote>
  <w:footnote w:type="continuationSeparator" w:id="0">
    <w:p w14:paraId="59758FC2" w14:textId="77777777" w:rsidR="00345E04" w:rsidRDefault="0034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36860" w14:textId="77777777" w:rsidR="00826991" w:rsidRDefault="00F154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1713F08" wp14:editId="108BD48D">
              <wp:simplePos x="0" y="0"/>
              <wp:positionH relativeFrom="column">
                <wp:posOffset>1538605</wp:posOffset>
              </wp:positionH>
              <wp:positionV relativeFrom="paragraph">
                <wp:posOffset>-146684</wp:posOffset>
              </wp:positionV>
              <wp:extent cx="2677795" cy="109791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7795" cy="1097915"/>
                        <a:chOff x="3681" y="3937"/>
                        <a:chExt cx="3240" cy="1815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3681" y="3937"/>
                          <a:ext cx="3240" cy="1815"/>
                          <a:chOff x="3681" y="3937"/>
                          <a:chExt cx="3240" cy="1815"/>
                        </a:xfrm>
                      </wpg:grpSpPr>
                      <wps:wsp>
                        <wps:cNvPr id="3" name="Oval 3"/>
                        <wps:cNvSpPr/>
                        <wps:spPr>
                          <a:xfrm>
                            <a:off x="3681" y="3937"/>
                            <a:ext cx="3240" cy="1800"/>
                          </a:xfrm>
                          <a:prstGeom prst="ellipse">
                            <a:avLst/>
                          </a:prstGeom>
                          <a:solidFill>
                            <a:srgbClr val="000080"/>
                          </a:solidFill>
                          <a:ln w="9525" cap="flat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Oval 4"/>
                        <wps:cNvSpPr/>
                        <wps:spPr>
                          <a:xfrm>
                            <a:off x="3881" y="4117"/>
                            <a:ext cx="284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4001" y="4205"/>
                            <a:ext cx="2620" cy="12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65D301" w14:textId="77777777" w:rsidR="00826991" w:rsidRDefault="00826991" w:rsidP="000B5509">
                              <w:pPr>
                                <w:suppressAutoHyphens/>
                                <w:spacing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position w:val="-1"/>
                                </w:rPr>
                              </w:pPr>
                            </w:p>
                            <w:p w14:paraId="605CA687" w14:textId="77777777" w:rsidR="00826991" w:rsidRDefault="00826991">
                              <w:pPr>
                                <w:suppressAutoHyphens/>
                                <w:spacing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position w:val="-1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4295" y="4312"/>
                            <a:ext cx="2160" cy="144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77FB0" w14:textId="77777777" w:rsidR="00826991" w:rsidRDefault="00F1547E" w:rsidP="005150AF">
                              <w:pPr>
                                <w:suppressAutoHyphens/>
                                <w:spacing w:line="1" w:lineRule="atLeast"/>
                                <w:ind w:leftChars="-1" w:left="-1" w:hangingChars="1" w:hanging="1"/>
                                <w:jc w:val="center"/>
                                <w:textDirection w:val="btLr"/>
                                <w:textAlignment w:val="top"/>
                                <w:outlineLvl w:val="0"/>
                                <w:rPr>
                                  <w:rFonts w:ascii="Calisto MT" w:hAnsi="Calisto MT" w:cs="Arial"/>
                                  <w:position w:val="-1"/>
                                  <w:sz w:val="14"/>
                                </w:rPr>
                              </w:pPr>
                              <w:r w:rsidRPr="FFFFFFFF" w:rsidDel="FFFFFFFF">
                                <w:rPr>
                                  <w:rFonts w:ascii="Garamond" w:hAnsi="Garamond" w:cs="Arial Unicode MS"/>
                                  <w:b/>
                                  <w:position w:val="-1"/>
                                  <w:sz w:val="14"/>
                                </w:rPr>
                                <w:t>JUNTA ADMINISTRADORA LOCAL</w:t>
                              </w:r>
                            </w:p>
                            <w:p w14:paraId="3CCA4DCB" w14:textId="77777777" w:rsidR="00826991" w:rsidRDefault="00826991">
                              <w:pPr>
                                <w:suppressAutoHyphens/>
                                <w:spacing w:line="1" w:lineRule="atLeast"/>
                                <w:ind w:leftChars="-1" w:hangingChars="1" w:hanging="2"/>
                                <w:textDirection w:val="btLr"/>
                                <w:textAlignment w:val="top"/>
                                <w:outlineLvl w:val="0"/>
                                <w:rPr>
                                  <w:position w:val="-1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2055" name="Picture2055"/>
                          <pic:cNvPicPr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31" y="4837"/>
                            <a:ext cx="463" cy="54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7" name="Rectangle 7"/>
                      <wps:cNvSpPr/>
                      <wps:spPr>
                        <a:xfrm>
                          <a:off x="4541" y="4589"/>
                          <a:ext cx="1528" cy="18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 w="6350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1538605</wp:posOffset>
              </wp:positionH>
              <wp:positionV relativeFrom="paragraph">
                <wp:posOffset>-146684</wp:posOffset>
              </wp:positionV>
              <wp:extent cx="2677795" cy="10979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77795" cy="1097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E382B39" w14:textId="77777777" w:rsidR="00826991" w:rsidRDefault="008269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91"/>
    <w:rsid w:val="000F3A27"/>
    <w:rsid w:val="00275238"/>
    <w:rsid w:val="00345E04"/>
    <w:rsid w:val="00826991"/>
    <w:rsid w:val="00C9426E"/>
    <w:rsid w:val="00CE76E1"/>
    <w:rsid w:val="00DF77FF"/>
    <w:rsid w:val="00F1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DC5E"/>
  <w15:docId w15:val="{1DF1F27C-15D5-4A25-B7CF-3A2CEC0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 Miguel Santamaria Barvo</cp:lastModifiedBy>
  <cp:revision>4</cp:revision>
  <dcterms:created xsi:type="dcterms:W3CDTF">2020-10-08T16:02:00Z</dcterms:created>
  <dcterms:modified xsi:type="dcterms:W3CDTF">2020-10-08T18:16:00Z</dcterms:modified>
</cp:coreProperties>
</file>